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ourier New" w:cs="Courier New" w:eastAsia="Courier New" w:hAnsi="Courier New"/>
          <w:b/>
          <w:bCs/>
          <w:color w:val="353532"/>
          <w:sz w:val="22"/>
          <w:szCs w:val="22"/>
        </w:rPr>
        <w:t xml:space="preserve">://hellum.it_</w:t>
      </w:r>
    </w:p>
    <w:p>
      <w:pPr>
        <w:spacing w:after="120"/>
      </w:pPr>
      <w:r>
        <w:rPr>
          <w:rFonts w:ascii="Courier New" w:cs="Courier New" w:eastAsia="Courier New" w:hAnsi="Courier New"/>
          <w:color w:val="3DCC3D"/>
          <w:sz w:val="18"/>
          <w:szCs w:val="18"/>
        </w:rPr>
        <w:t>// databehandleraftale · standard · v1.1</w:t>
      </w:r>
    </w:p>
    <w:p>
      <w:pPr>
        <w:spacing w:after="500"/>
      </w:pPr>
    </w:p>
    <w:p>
      <w:pPr>
        <w:spacing w:after="140"/>
      </w:pPr>
      <w:r>
        <w:rPr>
          <w:b/>
          <w:bCs/>
          <w:color w:val="353532"/>
          <w:sz w:val="56"/>
          <w:szCs w:val="56"/>
        </w:rPr>
        <w:t xml:space="preserve">Databehandleraftale</w:t>
      </w:r>
    </w:p>
    <w:p>
      <w:pPr>
        <w:spacing w:after="400"/>
      </w:pPr>
      <w:r>
        <w:rPr>
          <w:i/>
          <w:iCs/>
          <w:color w:val="6B6B66"/>
          <w:sz w:val="24"/>
          <w:szCs w:val="24"/>
        </w:rPr>
        <w:t xml:space="preserve">mellem den dataansvarlige (Kunden) og databehandleren (Hellum IT ApS)</w:t>
      </w:r>
    </w:p>
    <w:p>
      <w:pPr>
        <w:pStyle w:val="Heading2"/>
        <w:spacing w:after="140" w:before="320"/>
      </w:pPr>
      <w:r>
        <w:rPr>
          <w:b/>
          <w:bCs/>
          <w:color w:val="353532"/>
          <w:sz w:val="26"/>
          <w:szCs w:val="26"/>
        </w:rPr>
        <w:t xml:space="preserve">Parterne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D5D5D0" w:sz="4"/>
              <w:left w:val="single" w:color="D5D5D0" w:sz="4"/>
              <w:bottom w:val="single" w:color="D5D5D0" w:sz="4"/>
              <w:right w:val="single" w:color="D5D5D0" w:sz="4"/>
            </w:tcBorders>
            <w:shd w:fill="F5F5F2" w:val="clear"/>
            <w:tcMar>
              <w:top w:type="dxa" w:w="100"/>
              <w:left w:type="dxa" w:w="140"/>
              <w:bottom w:type="dxa" w:w="100"/>
              <w:right w:type="dxa" w:w="140"/>
            </w:tcMar>
          </w:tcPr>
          <w:p>
            <w:pPr>
              <w:spacing w:after="0"/>
            </w:pPr>
            <w:r>
              <w:rPr>
                <w:b/>
                <w:bCs/>
                <w:color w:val="353532"/>
                <w:sz w:val="20"/>
                <w:szCs w:val="20"/>
              </w:rPr>
              <w:t xml:space="preserve">Den dataansvarlige (Kunden)</w:t>
            </w:r>
          </w:p>
        </w:tc>
        <w:tc>
          <w:tcPr>
            <w:tcW w:type="dxa" w:w="4513"/>
            <w:tcBorders>
              <w:top w:val="single" w:color="D5D5D0" w:sz="4"/>
              <w:left w:val="single" w:color="D5D5D0" w:sz="4"/>
              <w:bottom w:val="single" w:color="D5D5D0" w:sz="4"/>
              <w:right w:val="single" w:color="D5D5D0" w:sz="4"/>
            </w:tcBorders>
            <w:shd w:fill="F5F5F2" w:val="clear"/>
            <w:tcMar>
              <w:top w:type="dxa" w:w="100"/>
              <w:left w:type="dxa" w:w="140"/>
              <w:bottom w:type="dxa" w:w="100"/>
              <w:right w:type="dxa" w:w="140"/>
            </w:tcMar>
          </w:tcPr>
          <w:p>
            <w:pPr>
              <w:spacing w:after="0"/>
            </w:pPr>
            <w:r>
              <w:rPr>
                <w:b/>
                <w:bCs/>
                <w:color w:val="353532"/>
                <w:sz w:val="20"/>
                <w:szCs w:val="20"/>
              </w:rPr>
              <w:t xml:space="preserve">Databehandleren</w:t>
            </w:r>
          </w:p>
        </w:tc>
      </w:tr>
      <w:tr>
        <w:tc>
          <w:tcPr>
            <w:tcW w:type="dxa" w:w="4513"/>
            <w:tcBorders>
              <w:top w:val="single" w:color="D5D5D0" w:sz="4"/>
              <w:left w:val="single" w:color="D5D5D0" w:sz="4"/>
              <w:bottom w:val="single" w:color="D5D5D0" w:sz="4"/>
              <w:right w:val="single" w:color="D5D5D0" w:sz="4"/>
            </w:tcBorders>
            <w:tcMar>
              <w:top w:type="dxa" w:w="140"/>
              <w:left w:type="dxa" w:w="160"/>
              <w:bottom w:type="dxa" w:w="140"/>
              <w:right w:type="dxa" w:w="160"/>
            </w:tcMar>
          </w:tcPr>
          <w:p>
            <w:pPr>
              <w:spacing w:after="60"/>
            </w:pPr>
            <w:r>
              <w:rPr>
                <w:b w:val="false"/>
                <w:bCs w:val="false"/>
                <w:i w:val="false"/>
                <w:iCs w:val="false"/>
                <w:color w:val="6B6B66"/>
                <w:sz w:val="18"/>
                <w:szCs w:val="18"/>
              </w:rPr>
              <w:t xml:space="preserve">Virksomhedsnavn:</w:t>
            </w:r>
          </w:p>
          <w:p>
            <w:pPr>
              <w:spacing w:after="140"/>
            </w:pPr>
            <w:r>
              <w:rPr>
                <w:b w:val="false"/>
                <w:bCs w:val="false"/>
                <w:i w:val="false"/>
                <w:iCs w:val="false"/>
                <w:color w:val="353532"/>
                <w:sz w:val="20"/>
                <w:szCs w:val="20"/>
              </w:rPr>
              <w:t xml:space="preserve">_______________________________</w:t>
            </w:r>
          </w:p>
          <w:p>
            <w:pPr>
              <w:spacing w:after="60"/>
            </w:pPr>
            <w:r>
              <w:rPr>
                <w:b w:val="false"/>
                <w:bCs w:val="false"/>
                <w:i w:val="false"/>
                <w:iCs w:val="false"/>
                <w:color w:val="6B6B66"/>
                <w:sz w:val="18"/>
                <w:szCs w:val="18"/>
              </w:rPr>
              <w:t xml:space="preserve">CVR-nummer:</w:t>
            </w:r>
          </w:p>
          <w:p>
            <w:pPr>
              <w:spacing w:after="140"/>
            </w:pPr>
            <w:r>
              <w:rPr>
                <w:b w:val="false"/>
                <w:bCs w:val="false"/>
                <w:i w:val="false"/>
                <w:iCs w:val="false"/>
                <w:color w:val="353532"/>
                <w:sz w:val="20"/>
                <w:szCs w:val="20"/>
              </w:rPr>
              <w:t xml:space="preserve">_______________________________</w:t>
            </w:r>
          </w:p>
          <w:p>
            <w:pPr>
              <w:spacing w:after="60"/>
            </w:pPr>
            <w:r>
              <w:rPr>
                <w:b w:val="false"/>
                <w:bCs w:val="false"/>
                <w:i w:val="false"/>
                <w:iCs w:val="false"/>
                <w:color w:val="6B6B66"/>
                <w:sz w:val="18"/>
                <w:szCs w:val="18"/>
              </w:rPr>
              <w:t xml:space="preserve">Adresse:</w:t>
            </w:r>
          </w:p>
          <w:p>
            <w:pPr>
              <w:spacing w:after="60"/>
            </w:pPr>
            <w:r>
              <w:rPr>
                <w:b w:val="false"/>
                <w:bCs w:val="false"/>
                <w:i w:val="false"/>
                <w:iCs w:val="false"/>
                <w:color w:val="353532"/>
                <w:sz w:val="20"/>
                <w:szCs w:val="20"/>
              </w:rPr>
              <w:t xml:space="preserve">_______________________________</w:t>
            </w:r>
          </w:p>
          <w:p>
            <w:pPr>
              <w:spacing w:after="140"/>
            </w:pPr>
            <w:r>
              <w:rPr>
                <w:b w:val="false"/>
                <w:bCs w:val="false"/>
                <w:i w:val="false"/>
                <w:iCs w:val="false"/>
                <w:color w:val="353532"/>
                <w:sz w:val="20"/>
                <w:szCs w:val="20"/>
              </w:rPr>
              <w:t xml:space="preserve">_______________________________</w:t>
            </w:r>
          </w:p>
          <w:p>
            <w:pPr>
              <w:spacing w:after="60"/>
            </w:pPr>
            <w:r>
              <w:rPr>
                <w:b w:val="false"/>
                <w:bCs w:val="false"/>
                <w:i w:val="false"/>
                <w:iCs w:val="false"/>
                <w:color w:val="6B6B66"/>
                <w:sz w:val="18"/>
                <w:szCs w:val="18"/>
              </w:rPr>
              <w:t xml:space="preserve">Kontaktperson:</w:t>
            </w:r>
          </w:p>
          <w:p>
            <w:pPr>
              <w:spacing w:after="140"/>
            </w:pPr>
            <w:r>
              <w:rPr>
                <w:b w:val="false"/>
                <w:bCs w:val="false"/>
                <w:i w:val="false"/>
                <w:iCs w:val="false"/>
                <w:color w:val="353532"/>
                <w:sz w:val="20"/>
                <w:szCs w:val="20"/>
              </w:rPr>
              <w:t xml:space="preserve">_______________________________</w:t>
            </w:r>
          </w:p>
          <w:p>
            <w:pPr>
              <w:spacing w:after="60"/>
            </w:pPr>
            <w:r>
              <w:rPr>
                <w:b w:val="false"/>
                <w:bCs w:val="false"/>
                <w:i w:val="false"/>
                <w:iCs w:val="false"/>
                <w:color w:val="6B6B66"/>
                <w:sz w:val="18"/>
                <w:szCs w:val="18"/>
              </w:rPr>
              <w:t xml:space="preserve">E-mail:</w:t>
            </w:r>
          </w:p>
          <w:p>
            <w:pPr>
              <w:spacing w:after="0"/>
            </w:pPr>
            <w:r>
              <w:rPr>
                <w:b w:val="false"/>
                <w:bCs w:val="false"/>
                <w:i w:val="false"/>
                <w:iCs w:val="false"/>
                <w:color w:val="353532"/>
                <w:sz w:val="20"/>
                <w:szCs w:val="20"/>
              </w:rPr>
              <w:t xml:space="preserve">_______________________________</w:t>
            </w:r>
          </w:p>
        </w:tc>
        <w:tc>
          <w:tcPr>
            <w:tcW w:type="dxa" w:w="4513"/>
            <w:tcBorders>
              <w:top w:val="single" w:color="D5D5D0" w:sz="4"/>
              <w:left w:val="single" w:color="D5D5D0" w:sz="4"/>
              <w:bottom w:val="single" w:color="D5D5D0" w:sz="4"/>
              <w:right w:val="single" w:color="D5D5D0" w:sz="4"/>
            </w:tcBorders>
            <w:tcMar>
              <w:top w:type="dxa" w:w="140"/>
              <w:left w:type="dxa" w:w="160"/>
              <w:bottom w:type="dxa" w:w="140"/>
              <w:right w:type="dxa" w:w="160"/>
            </w:tcMar>
          </w:tcPr>
          <w:p>
            <w:pPr>
              <w:spacing w:after="60"/>
            </w:pPr>
            <w:r>
              <w:rPr>
                <w:b w:val="false"/>
                <w:bCs w:val="false"/>
                <w:i w:val="false"/>
                <w:iCs w:val="false"/>
                <w:color w:val="6B6B66"/>
                <w:sz w:val="18"/>
                <w:szCs w:val="18"/>
              </w:rPr>
              <w:t xml:space="preserve">Virksomhedsnavn:</w:t>
            </w:r>
          </w:p>
          <w:p>
            <w:pPr>
              <w:spacing w:after="140"/>
            </w:pPr>
            <w:r>
              <w:rPr>
                <w:b/>
                <w:bCs/>
                <w:i w:val="false"/>
                <w:iCs w:val="false"/>
                <w:color w:val="353532"/>
                <w:sz w:val="22"/>
                <w:szCs w:val="22"/>
              </w:rPr>
              <w:t xml:space="preserve">Hellum IT ApS</w:t>
            </w:r>
          </w:p>
          <w:p>
            <w:pPr>
              <w:spacing w:after="60"/>
            </w:pPr>
            <w:r>
              <w:rPr>
                <w:b w:val="false"/>
                <w:bCs w:val="false"/>
                <w:i w:val="false"/>
                <w:iCs w:val="false"/>
                <w:color w:val="6B6B66"/>
                <w:sz w:val="18"/>
                <w:szCs w:val="18"/>
              </w:rPr>
              <w:t xml:space="preserve">CVR-nummer:</w:t>
            </w:r>
          </w:p>
          <w:p>
            <w:pPr>
              <w:spacing w:after="140"/>
            </w:pPr>
            <w:r>
              <w:rPr>
                <w:b w:val="false"/>
                <w:bCs w:val="false"/>
                <w:i w:val="false"/>
                <w:iCs w:val="false"/>
                <w:color w:val="353532"/>
                <w:sz w:val="22"/>
                <w:szCs w:val="22"/>
              </w:rPr>
              <w:t xml:space="preserve">44702509</w:t>
            </w:r>
          </w:p>
          <w:p>
            <w:pPr>
              <w:spacing w:after="60"/>
            </w:pPr>
            <w:r>
              <w:rPr>
                <w:b w:val="false"/>
                <w:bCs w:val="false"/>
                <w:i w:val="false"/>
                <w:iCs w:val="false"/>
                <w:color w:val="6B6B66"/>
                <w:sz w:val="18"/>
                <w:szCs w:val="18"/>
              </w:rPr>
              <w:t xml:space="preserve">Adresse:</w:t>
            </w:r>
          </w:p>
          <w:p>
            <w:pPr>
              <w:spacing w:after="60"/>
            </w:pPr>
            <w:r>
              <w:rPr>
                <w:b w:val="false"/>
                <w:bCs w:val="false"/>
                <w:i w:val="false"/>
                <w:iCs w:val="false"/>
                <w:color w:val="353532"/>
                <w:sz w:val="22"/>
                <w:szCs w:val="22"/>
              </w:rPr>
              <w:t xml:space="preserve">Svendborg, Sydfyn</w:t>
            </w:r>
          </w:p>
          <w:p>
            <w:pPr>
              <w:spacing w:after="140"/>
            </w:pPr>
            <w:r>
              <w:rPr>
                <w:b w:val="false"/>
                <w:bCs w:val="false"/>
                <w:i/>
                <w:iCs/>
                <w:color w:val="6B6B66"/>
                <w:sz w:val="18"/>
                <w:szCs w:val="18"/>
              </w:rPr>
              <w:t xml:space="preserve">(fuld adresse oplyses ved anmodning)</w:t>
            </w:r>
          </w:p>
          <w:p>
            <w:pPr>
              <w:spacing w:after="60"/>
            </w:pPr>
            <w:r>
              <w:rPr>
                <w:b w:val="false"/>
                <w:bCs w:val="false"/>
                <w:i w:val="false"/>
                <w:iCs w:val="false"/>
                <w:color w:val="6B6B66"/>
                <w:sz w:val="18"/>
                <w:szCs w:val="18"/>
              </w:rPr>
              <w:t xml:space="preserve">Kontaktperson:</w:t>
            </w:r>
          </w:p>
          <w:p>
            <w:pPr>
              <w:spacing w:after="140"/>
            </w:pPr>
            <w:r>
              <w:rPr>
                <w:b w:val="false"/>
                <w:bCs w:val="false"/>
                <w:i w:val="false"/>
                <w:iCs w:val="false"/>
                <w:color w:val="353532"/>
                <w:sz w:val="22"/>
                <w:szCs w:val="22"/>
              </w:rPr>
              <w:t xml:space="preserve">Rasmus Hellum</w:t>
            </w:r>
          </w:p>
          <w:p>
            <w:pPr>
              <w:spacing w:after="60"/>
            </w:pPr>
            <w:r>
              <w:rPr>
                <w:b w:val="false"/>
                <w:bCs w:val="false"/>
                <w:i w:val="false"/>
                <w:iCs w:val="false"/>
                <w:color w:val="6B6B66"/>
                <w:sz w:val="18"/>
                <w:szCs w:val="18"/>
              </w:rPr>
              <w:t xml:space="preserve">E-mail:</w:t>
            </w:r>
          </w:p>
          <w:p>
            <w:pPr>
              <w:spacing w:after="0"/>
            </w:pPr>
            <w:r>
              <w:rPr>
                <w:b w:val="false"/>
                <w:bCs w:val="false"/>
                <w:i w:val="false"/>
                <w:iCs w:val="false"/>
                <w:color w:val="353532"/>
                <w:sz w:val="22"/>
                <w:szCs w:val="22"/>
              </w:rPr>
              <w:t xml:space="preserve">rasmus@hellum.it</w:t>
            </w:r>
          </w:p>
        </w:tc>
      </w:tr>
    </w:tbl>
    <w:p>
      <w:pPr>
        <w:spacing w:after="300"/>
      </w:pPr>
    </w:p>
    <w:p>
      <w:pPr>
        <w:pStyle w:val="Heading2"/>
        <w:spacing w:after="140" w:before="320"/>
      </w:pPr>
      <w:r>
        <w:rPr>
          <w:b/>
          <w:bCs/>
          <w:color w:val="353532"/>
          <w:sz w:val="26"/>
          <w:szCs w:val="26"/>
        </w:rPr>
        <w:t xml:space="preserve">Aftalens formål og baggrund</w:t>
      </w:r>
    </w:p>
    <w:p>
      <w:pPr>
        <w:spacing w:after="140" w:line="320"/>
      </w:pPr>
      <w:r>
        <w:rPr>
          <w:color w:val="353532"/>
          <w:sz w:val="22"/>
          <w:szCs w:val="22"/>
        </w:rPr>
        <w:t xml:space="preserve">Denne databehandleraftale (Aftalen) regulerer Databehandlerens behandling af personoplysninger på vegne af Den dataansvarlige i forbindelse med levering af IT-rådgivning, drift, support og tilknyttede ydelser.</w:t>
      </w:r>
    </w:p>
    <w:p>
      <w:pPr>
        <w:spacing w:after="140" w:line="320"/>
      </w:pPr>
      <w:r>
        <w:rPr>
          <w:color w:val="353532"/>
          <w:sz w:val="22"/>
          <w:szCs w:val="22"/>
        </w:rPr>
        <w:t xml:space="preserve">Aftalen er indgået i overensstemmelse med Databeskyttelsesforordningen (EU) 2016/679 (GDPR) art. 28 samt dansk databeskyttelseslovgivning.</w:t>
      </w:r>
    </w:p>
    <w:p>
      <w:pPr>
        <w:spacing w:after="140" w:line="320"/>
      </w:pPr>
      <w:r>
        <w:rPr>
          <w:color w:val="353532"/>
          <w:sz w:val="22"/>
          <w:szCs w:val="22"/>
        </w:rPr>
        <w:t xml:space="preserve">Aftalen bygger på Datatilsynets standardkontrakt for behandling af personoplysninger og tilpasser den til omfanget af Hellum IT ApS' ydelser. I tilfælde af konflikt mellem denne Aftale og det underliggende kundeforhold (hovedaftalen) har denne Aftale forrang for så vidt angår behandling af personoplysninger.</w:t>
      </w:r>
    </w:p>
    <w:p>
      <w:pPr>
        <w:pStyle w:val="Heading2"/>
        <w:spacing w:after="140" w:before="320"/>
      </w:pPr>
      <w:r>
        <w:rPr>
          <w:b/>
          <w:bCs/>
          <w:color w:val="353532"/>
          <w:sz w:val="26"/>
          <w:szCs w:val="26"/>
        </w:rPr>
        <w:t xml:space="preserve">1. Formål, omfang og varighed</w:t>
      </w:r>
    </w:p>
    <w:p>
      <w:pPr>
        <w:pStyle w:val="Heading3"/>
        <w:spacing w:after="100" w:before="200"/>
      </w:pPr>
      <w:r>
        <w:rPr>
          <w:b/>
          <w:bCs/>
          <w:color w:val="353532"/>
          <w:sz w:val="22"/>
          <w:szCs w:val="22"/>
        </w:rPr>
        <w:t xml:space="preserve">1.1 Behandlingens formål</w:t>
      </w:r>
    </w:p>
    <w:p>
      <w:pPr>
        <w:spacing w:after="140" w:line="320"/>
      </w:pPr>
      <w:r>
        <w:rPr>
          <w:color w:val="353532"/>
          <w:sz w:val="22"/>
          <w:szCs w:val="22"/>
        </w:rPr>
        <w:t xml:space="preserve">Databehandleren behandler personoplysninger for Den dataansvarlige med det formål at levere de IT-ydelser der er aftalt mellem parterne. Dette omfatter typisk:</w:t>
      </w:r>
    </w:p>
    <w:p>
      <w:pPr>
        <w:pStyle w:val="ListParagraph"/>
        <w:numPr>
          <w:ilvl w:val="0"/>
          <w:numId w:val="2"/>
        </w:numPr>
        <w:spacing w:after="80" w:line="300"/>
      </w:pPr>
      <w:r>
        <w:rPr>
          <w:color w:val="353532"/>
          <w:sz w:val="22"/>
          <w:szCs w:val="22"/>
        </w:rPr>
        <w:t xml:space="preserve">Drift, vedligehold og support af IT-systemer</w:t>
      </w:r>
    </w:p>
    <w:p>
      <w:pPr>
        <w:pStyle w:val="ListParagraph"/>
        <w:numPr>
          <w:ilvl w:val="0"/>
          <w:numId w:val="2"/>
        </w:numPr>
        <w:spacing w:after="80" w:line="300"/>
      </w:pPr>
      <w:r>
        <w:rPr>
          <w:color w:val="353532"/>
          <w:sz w:val="22"/>
          <w:szCs w:val="22"/>
        </w:rPr>
        <w:t xml:space="preserve">Opsætning og administration af bruger- og licensstyring (Microsoft 365, Google Workspace m.fl.)</w:t>
      </w:r>
    </w:p>
    <w:p>
      <w:pPr>
        <w:pStyle w:val="ListParagraph"/>
        <w:numPr>
          <w:ilvl w:val="0"/>
          <w:numId w:val="2"/>
        </w:numPr>
        <w:spacing w:after="80" w:line="300"/>
      </w:pPr>
      <w:r>
        <w:rPr>
          <w:color w:val="353532"/>
          <w:sz w:val="22"/>
          <w:szCs w:val="22"/>
        </w:rPr>
        <w:t xml:space="preserve">Netværks- og infrastrukturopgaver, herunder firewall, VLAN, WiFi</w:t>
      </w:r>
    </w:p>
    <w:p>
      <w:pPr>
        <w:pStyle w:val="ListParagraph"/>
        <w:numPr>
          <w:ilvl w:val="0"/>
          <w:numId w:val="2"/>
        </w:numPr>
        <w:spacing w:after="80" w:line="300"/>
      </w:pPr>
      <w:r>
        <w:rPr>
          <w:color w:val="353532"/>
          <w:sz w:val="22"/>
          <w:szCs w:val="22"/>
        </w:rPr>
        <w:t xml:space="preserve">Backup, monitorering og fejlhåndtering</w:t>
      </w:r>
    </w:p>
    <w:p>
      <w:pPr>
        <w:pStyle w:val="ListParagraph"/>
        <w:numPr>
          <w:ilvl w:val="0"/>
          <w:numId w:val="2"/>
        </w:numPr>
        <w:spacing w:after="80" w:line="300"/>
      </w:pPr>
      <w:r>
        <w:rPr>
          <w:color w:val="353532"/>
          <w:sz w:val="22"/>
          <w:szCs w:val="22"/>
        </w:rPr>
        <w:t xml:space="preserve">Migreringer, opgraderinger og strategisk rådgivning</w:t>
      </w:r>
    </w:p>
    <w:p>
      <w:pPr>
        <w:pStyle w:val="Heading3"/>
        <w:spacing w:after="100" w:before="200"/>
      </w:pPr>
      <w:r>
        <w:rPr>
          <w:b/>
          <w:bCs/>
          <w:color w:val="353532"/>
          <w:sz w:val="22"/>
          <w:szCs w:val="22"/>
        </w:rPr>
        <w:t xml:space="preserve">1.2 Behandlingens karakter</w:t>
      </w:r>
    </w:p>
    <w:p>
      <w:pPr>
        <w:spacing w:after="140" w:line="320"/>
      </w:pPr>
      <w:r>
        <w:rPr>
          <w:color w:val="353532"/>
          <w:sz w:val="22"/>
          <w:szCs w:val="22"/>
        </w:rPr>
        <w:t xml:space="preserve">Behandlingen omfatter primært læseadgang, opsætning og administration. Databehandleren tilgår personoplysninger i det omfang det er nødvendigt for at udføre den aftalte ydelse — ikke som selvstændigt formål.</w:t>
      </w:r>
    </w:p>
    <w:p>
      <w:pPr>
        <w:pStyle w:val="Heading3"/>
        <w:spacing w:after="100" w:before="200"/>
      </w:pPr>
      <w:r>
        <w:rPr>
          <w:b/>
          <w:bCs/>
          <w:color w:val="353532"/>
          <w:sz w:val="22"/>
          <w:szCs w:val="22"/>
        </w:rPr>
        <w:t xml:space="preserve">1.3 Varighed</w:t>
      </w:r>
    </w:p>
    <w:p>
      <w:pPr>
        <w:spacing w:after="140" w:line="320"/>
      </w:pPr>
      <w:r>
        <w:rPr>
          <w:color w:val="353532"/>
          <w:sz w:val="22"/>
          <w:szCs w:val="22"/>
        </w:rPr>
        <w:t xml:space="preserve">Aftalen træder i kraft ved underskrift af begge parter og løber så længe Databehandleren leverer ydelser til Den dataansvarlige. Aftalen ophører automatisk ved hovedaftalens ophør.</w:t>
      </w:r>
    </w:p>
    <w:p>
      <w:pPr>
        <w:pStyle w:val="Heading2"/>
        <w:spacing w:after="140" w:before="320"/>
      </w:pPr>
      <w:r>
        <w:rPr>
          <w:b/>
          <w:bCs/>
          <w:color w:val="353532"/>
          <w:sz w:val="26"/>
          <w:szCs w:val="26"/>
        </w:rPr>
        <w:t xml:space="preserve">2. Typer af personoplysninger og kategorier af registrerede</w:t>
      </w:r>
    </w:p>
    <w:p>
      <w:pPr>
        <w:pStyle w:val="Heading3"/>
        <w:spacing w:after="100" w:before="200"/>
      </w:pPr>
      <w:r>
        <w:rPr>
          <w:b/>
          <w:bCs/>
          <w:color w:val="353532"/>
          <w:sz w:val="22"/>
          <w:szCs w:val="22"/>
        </w:rPr>
        <w:t xml:space="preserve">2.1 Kategorier af registrerede</w:t>
      </w:r>
    </w:p>
    <w:p>
      <w:pPr>
        <w:spacing w:after="140" w:line="320"/>
      </w:pPr>
      <w:r>
        <w:rPr>
          <w:color w:val="353532"/>
          <w:sz w:val="22"/>
          <w:szCs w:val="22"/>
        </w:rPr>
        <w:t xml:space="preserve">Behandlingen kan omfatte personoplysninger om følgende kategorier af registrerede:</w:t>
      </w:r>
    </w:p>
    <w:p>
      <w:pPr>
        <w:pStyle w:val="ListParagraph"/>
        <w:numPr>
          <w:ilvl w:val="0"/>
          <w:numId w:val="2"/>
        </w:numPr>
        <w:spacing w:after="80" w:line="300"/>
      </w:pPr>
      <w:r>
        <w:rPr>
          <w:color w:val="353532"/>
          <w:sz w:val="22"/>
          <w:szCs w:val="22"/>
        </w:rPr>
        <w:t xml:space="preserve">Den dataansvarliges medarbejdere og ledelse</w:t>
      </w:r>
    </w:p>
    <w:p>
      <w:pPr>
        <w:pStyle w:val="ListParagraph"/>
        <w:numPr>
          <w:ilvl w:val="0"/>
          <w:numId w:val="2"/>
        </w:numPr>
        <w:spacing w:after="80" w:line="300"/>
      </w:pPr>
      <w:r>
        <w:rPr>
          <w:color w:val="353532"/>
          <w:sz w:val="22"/>
          <w:szCs w:val="22"/>
        </w:rPr>
        <w:t xml:space="preserve">Den dataansvarliges kunder, samarbejdspartnere og kontakter (hvor relevant)</w:t>
      </w:r>
    </w:p>
    <w:p>
      <w:pPr>
        <w:pStyle w:val="ListParagraph"/>
        <w:numPr>
          <w:ilvl w:val="0"/>
          <w:numId w:val="2"/>
        </w:numPr>
        <w:spacing w:after="80" w:line="300"/>
      </w:pPr>
      <w:r>
        <w:rPr>
          <w:color w:val="353532"/>
          <w:sz w:val="22"/>
          <w:szCs w:val="22"/>
        </w:rPr>
        <w:t xml:space="preserve">For uddannelsesinstitutioner: elever, studerende, kursister og deres forældre/værger</w:t>
      </w:r>
    </w:p>
    <w:p>
      <w:pPr>
        <w:pStyle w:val="ListParagraph"/>
        <w:numPr>
          <w:ilvl w:val="0"/>
          <w:numId w:val="2"/>
        </w:numPr>
        <w:spacing w:after="80" w:line="300"/>
      </w:pPr>
      <w:r>
        <w:rPr>
          <w:color w:val="353532"/>
          <w:sz w:val="22"/>
          <w:szCs w:val="22"/>
        </w:rPr>
        <w:t xml:space="preserve">Andre brugere af Den dataansvarliges IT-systemer</w:t>
      </w:r>
    </w:p>
    <w:p>
      <w:pPr>
        <w:pStyle w:val="Heading3"/>
        <w:spacing w:after="100" w:before="200"/>
      </w:pPr>
      <w:r>
        <w:rPr>
          <w:b/>
          <w:bCs/>
          <w:color w:val="353532"/>
          <w:sz w:val="22"/>
          <w:szCs w:val="22"/>
        </w:rPr>
        <w:t xml:space="preserve">2.2 Typer af personoplysninger</w:t>
      </w:r>
    </w:p>
    <w:p>
      <w:pPr>
        <w:spacing w:after="140" w:line="320"/>
      </w:pPr>
      <w:r>
        <w:rPr>
          <w:color w:val="353532"/>
          <w:sz w:val="22"/>
          <w:szCs w:val="22"/>
        </w:rPr>
        <w:t xml:space="preserve">Behandlingen omfatter typisk følgende almindelige personoplysninger (GDPR art. 6):</w:t>
      </w:r>
    </w:p>
    <w:p>
      <w:pPr>
        <w:pStyle w:val="ListParagraph"/>
        <w:numPr>
          <w:ilvl w:val="0"/>
          <w:numId w:val="2"/>
        </w:numPr>
        <w:spacing w:after="80" w:line="300"/>
      </w:pPr>
      <w:r>
        <w:rPr>
          <w:color w:val="353532"/>
          <w:sz w:val="22"/>
          <w:szCs w:val="22"/>
        </w:rPr>
        <w:t xml:space="preserve">Navn, e-mailadresse, telefonnummer</w:t>
      </w:r>
    </w:p>
    <w:p>
      <w:pPr>
        <w:pStyle w:val="ListParagraph"/>
        <w:numPr>
          <w:ilvl w:val="0"/>
          <w:numId w:val="2"/>
        </w:numPr>
        <w:spacing w:after="80" w:line="300"/>
      </w:pPr>
      <w:r>
        <w:rPr>
          <w:color w:val="353532"/>
          <w:sz w:val="22"/>
          <w:szCs w:val="22"/>
        </w:rPr>
        <w:t xml:space="preserve">Brugernavne, login-oplysninger, adgangsrettigheder</w:t>
      </w:r>
    </w:p>
    <w:p>
      <w:pPr>
        <w:pStyle w:val="ListParagraph"/>
        <w:numPr>
          <w:ilvl w:val="0"/>
          <w:numId w:val="2"/>
        </w:numPr>
        <w:spacing w:after="80" w:line="300"/>
      </w:pPr>
      <w:r>
        <w:rPr>
          <w:color w:val="353532"/>
          <w:sz w:val="22"/>
          <w:szCs w:val="22"/>
        </w:rPr>
        <w:t xml:space="preserve">Stillingsbetegnelse, afdeling, organisatorisk tilknytning</w:t>
      </w:r>
    </w:p>
    <w:p>
      <w:pPr>
        <w:pStyle w:val="ListParagraph"/>
        <w:numPr>
          <w:ilvl w:val="0"/>
          <w:numId w:val="2"/>
        </w:numPr>
        <w:spacing w:after="80" w:line="300"/>
      </w:pPr>
      <w:r>
        <w:rPr>
          <w:color w:val="353532"/>
          <w:sz w:val="22"/>
          <w:szCs w:val="22"/>
        </w:rPr>
        <w:t xml:space="preserve">Tekniske oplysninger som IP-adresse, enheds-ID, log-data</w:t>
      </w:r>
    </w:p>
    <w:p>
      <w:pPr>
        <w:pStyle w:val="ListParagraph"/>
        <w:numPr>
          <w:ilvl w:val="0"/>
          <w:numId w:val="2"/>
        </w:numPr>
        <w:spacing w:after="80" w:line="300"/>
      </w:pPr>
      <w:r>
        <w:rPr>
          <w:color w:val="353532"/>
          <w:sz w:val="22"/>
          <w:szCs w:val="22"/>
        </w:rPr>
        <w:t xml:space="preserve">Indhold i filer og e-mails som Databehandleren utilsigtet kan se i forbindelse med drift</w:t>
      </w:r>
    </w:p>
    <w:p>
      <w:pPr>
        <w:spacing w:after="140" w:line="320"/>
      </w:pPr>
      <w:r>
        <w:rPr>
          <w:i/>
          <w:iCs/>
          <w:color w:val="353532"/>
          <w:sz w:val="22"/>
          <w:szCs w:val="22"/>
        </w:rPr>
        <w:t xml:space="preserve">Databehandleren behandler som udgangspunkt ikke følsomme personoplysninger (GDPR art. 9) eller oplysninger om strafbare forhold (GDPR art. 10). Hvis sådan behandling undtagelsesvis er nødvendig, aftales dette skriftligt mellem parterne på forhånd.</w:t>
      </w:r>
    </w:p>
    <w:p>
      <w:pPr>
        <w:pStyle w:val="Heading2"/>
        <w:spacing w:after="140" w:before="320"/>
      </w:pPr>
      <w:r>
        <w:rPr>
          <w:b/>
          <w:bCs/>
          <w:color w:val="353532"/>
          <w:sz w:val="26"/>
          <w:szCs w:val="26"/>
        </w:rPr>
        <w:t xml:space="preserve">3. Den dataansvarliges instruks</w:t>
      </w:r>
    </w:p>
    <w:p>
      <w:pPr>
        <w:spacing w:after="140" w:line="320"/>
      </w:pPr>
      <w:r>
        <w:rPr>
          <w:color w:val="353532"/>
          <w:sz w:val="22"/>
          <w:szCs w:val="22"/>
        </w:rPr>
        <w:t xml:space="preserve">Databehandleren behandler kun personoplysninger efter dokumenteret instruks fra Den dataansvarlige, medmindre det kræves i henhold til EU-ret eller dansk ret som Databehandleren er underlagt. I sidstnævnte tilfælde underretter Databehandleren Den dataansvarlige om dette retlige krav inden behandling, medmindre den pågældende ret forbyder en sådan underretning af hensyn til vigtige samfundsmæssige interesser.</w:t>
      </w:r>
    </w:p>
    <w:p>
      <w:pPr>
        <w:spacing w:after="140" w:line="320"/>
      </w:pPr>
      <w:r>
        <w:rPr>
          <w:color w:val="353532"/>
          <w:sz w:val="22"/>
          <w:szCs w:val="22"/>
        </w:rPr>
        <w:t xml:space="preserve">Den dataansvarliges instruks til Databehandleren udgøres ved Aftalens underskrivelse af bestemmelserne i denne Aftale samt af de aftaler om ydelser der i øvrigt indgås mellem parterne. Yderligere eller ændrede instrukser gives skriftligt — e-mail accepteres.</w:t>
      </w:r>
    </w:p>
    <w:p>
      <w:pPr>
        <w:spacing w:after="140" w:line="320"/>
      </w:pPr>
      <w:r>
        <w:rPr>
          <w:color w:val="353532"/>
          <w:sz w:val="22"/>
          <w:szCs w:val="22"/>
        </w:rPr>
        <w:t xml:space="preserve">Databehandleren underretter omgående Den dataansvarlige hvis en instruks efter Databehandlerens mening er i strid med GDPR eller anden databeskyttelseslovgivning.</w:t>
      </w:r>
    </w:p>
    <w:p>
      <w:pPr>
        <w:pStyle w:val="Heading2"/>
        <w:spacing w:after="140" w:before="320"/>
      </w:pPr>
      <w:r>
        <w:rPr>
          <w:b/>
          <w:bCs/>
          <w:color w:val="353532"/>
          <w:sz w:val="26"/>
          <w:szCs w:val="26"/>
        </w:rPr>
        <w:t xml:space="preserve">4. Fortrolighed</w:t>
      </w:r>
    </w:p>
    <w:p>
      <w:pPr>
        <w:spacing w:after="140" w:line="320"/>
      </w:pPr>
      <w:r>
        <w:rPr>
          <w:color w:val="353532"/>
          <w:sz w:val="22"/>
          <w:szCs w:val="22"/>
        </w:rPr>
        <w:t xml:space="preserve">Databehandleren sikrer at personer der er autoriseret til at behandle personoplysninger på vegne af Den dataansvarlige har forpligtet sig til fortrolighed eller er underlagt en passende lovbestemt tavshedspligt.</w:t>
      </w:r>
    </w:p>
    <w:p>
      <w:pPr>
        <w:spacing w:after="140" w:line="320"/>
      </w:pPr>
      <w:r>
        <w:rPr>
          <w:color w:val="353532"/>
          <w:sz w:val="22"/>
          <w:szCs w:val="22"/>
        </w:rPr>
        <w:t xml:space="preserve">Databehandleren sikrer at adgangen til personoplysninger begrænses til de personer for hvem det er nødvendigt at have adgang til oplysningerne for at kunne opfylde Databehandlerens forpligtelser over for Den dataansvarlige.</w:t>
      </w:r>
    </w:p>
    <w:p>
      <w:pPr>
        <w:spacing w:after="140" w:line="320"/>
      </w:pPr>
      <w:r>
        <w:rPr>
          <w:i/>
          <w:iCs/>
          <w:color w:val="353532"/>
          <w:sz w:val="22"/>
          <w:szCs w:val="22"/>
        </w:rPr>
        <w:t xml:space="preserve">Da Hellum IT ApS er en mindre virksomhed, kan Databehandleren oplyse at adgangen til kundedata som udgangspunkt er begrænset til virksomhedens indehaver. Eventuelle medarbejdere eller faste samarbejdspartnere underskriver fortrolighedserklæring inden adgang gives.</w:t>
      </w:r>
    </w:p>
    <w:p>
      <w:pPr>
        <w:pStyle w:val="Heading2"/>
        <w:spacing w:after="140" w:before="320"/>
      </w:pPr>
      <w:r>
        <w:rPr>
          <w:b/>
          <w:bCs/>
          <w:color w:val="353532"/>
          <w:sz w:val="26"/>
          <w:szCs w:val="26"/>
        </w:rPr>
        <w:t xml:space="preserve">5. Sikkerhed</w:t>
      </w:r>
    </w:p>
    <w:p>
      <w:pPr>
        <w:spacing w:after="140" w:line="320"/>
      </w:pPr>
      <w:r>
        <w:rPr>
          <w:color w:val="353532"/>
          <w:sz w:val="22"/>
          <w:szCs w:val="22"/>
        </w:rPr>
        <w:t xml:space="preserve">Databehandleren træffer alle foranstaltninger der kræves i henhold til GDPR art. 32 — herunder, alt efter hvad der er relevant:</w:t>
      </w:r>
    </w:p>
    <w:p>
      <w:pPr>
        <w:pStyle w:val="ListParagraph"/>
        <w:numPr>
          <w:ilvl w:val="0"/>
          <w:numId w:val="2"/>
        </w:numPr>
        <w:spacing w:after="80" w:line="300"/>
      </w:pPr>
      <w:r>
        <w:rPr>
          <w:color w:val="353532"/>
          <w:sz w:val="22"/>
          <w:szCs w:val="22"/>
        </w:rPr>
        <w:t xml:space="preserve">Pseudonymisering og kryptering af personoplysninger hvor det er teknisk og praktisk muligt</w:t>
      </w:r>
    </w:p>
    <w:p>
      <w:pPr>
        <w:pStyle w:val="ListParagraph"/>
        <w:numPr>
          <w:ilvl w:val="0"/>
          <w:numId w:val="2"/>
        </w:numPr>
        <w:spacing w:after="80" w:line="300"/>
      </w:pPr>
      <w:r>
        <w:rPr>
          <w:color w:val="353532"/>
          <w:sz w:val="22"/>
          <w:szCs w:val="22"/>
        </w:rPr>
        <w:t xml:space="preserve">Evne til at sikre vedvarende fortrolighed, integritet, tilgængelighed og robusthed af behandlingssystemerne og -tjenesterne</w:t>
      </w:r>
    </w:p>
    <w:p>
      <w:pPr>
        <w:pStyle w:val="ListParagraph"/>
        <w:numPr>
          <w:ilvl w:val="0"/>
          <w:numId w:val="2"/>
        </w:numPr>
        <w:spacing w:after="80" w:line="300"/>
      </w:pPr>
      <w:r>
        <w:rPr>
          <w:color w:val="353532"/>
          <w:sz w:val="22"/>
          <w:szCs w:val="22"/>
        </w:rPr>
        <w:t xml:space="preserve">Evne til rettidigt at genoprette tilgængeligheden af og adgangen til personoplysninger i tilfælde af en fysisk eller teknisk hændelse</w:t>
      </w:r>
    </w:p>
    <w:p>
      <w:pPr>
        <w:pStyle w:val="ListParagraph"/>
        <w:numPr>
          <w:ilvl w:val="0"/>
          <w:numId w:val="2"/>
        </w:numPr>
        <w:spacing w:after="80" w:line="300"/>
      </w:pPr>
      <w:r>
        <w:rPr>
          <w:color w:val="353532"/>
          <w:sz w:val="22"/>
          <w:szCs w:val="22"/>
        </w:rPr>
        <w:t xml:space="preserve">Procedurer for regelmæssig afprøvning, vurdering og evaluering af effektiviteten af de tekniske og organisatoriske foranstaltninger</w:t>
      </w:r>
    </w:p>
    <w:p>
      <w:pPr>
        <w:pStyle w:val="Heading3"/>
        <w:spacing w:after="100" w:before="200"/>
      </w:pPr>
      <w:r>
        <w:rPr>
          <w:b/>
          <w:bCs/>
          <w:color w:val="353532"/>
          <w:sz w:val="22"/>
          <w:szCs w:val="22"/>
        </w:rPr>
        <w:t xml:space="preserve">5.1 Konkrete sikkerhedsforanstaltninger</w:t>
      </w:r>
    </w:p>
    <w:p>
      <w:pPr>
        <w:spacing w:after="140" w:line="320"/>
      </w:pPr>
      <w:r>
        <w:rPr>
          <w:color w:val="353532"/>
          <w:sz w:val="22"/>
          <w:szCs w:val="22"/>
        </w:rPr>
        <w:t xml:space="preserve">Databehandleren har implementeret blandt andet følgende foranstaltninger:</w:t>
      </w:r>
    </w:p>
    <w:p>
      <w:pPr>
        <w:pStyle w:val="ListParagraph"/>
        <w:numPr>
          <w:ilvl w:val="0"/>
          <w:numId w:val="2"/>
        </w:numPr>
        <w:spacing w:after="80" w:line="300"/>
      </w:pPr>
      <w:r>
        <w:rPr>
          <w:color w:val="353532"/>
          <w:sz w:val="22"/>
          <w:szCs w:val="22"/>
        </w:rPr>
        <w:t xml:space="preserve">Multifaktor-autentificering (MFA) på alle administrative konti</w:t>
      </w:r>
    </w:p>
    <w:p>
      <w:pPr>
        <w:pStyle w:val="ListParagraph"/>
        <w:numPr>
          <w:ilvl w:val="0"/>
          <w:numId w:val="2"/>
        </w:numPr>
        <w:spacing w:after="80" w:line="300"/>
      </w:pPr>
      <w:r>
        <w:rPr>
          <w:color w:val="353532"/>
          <w:sz w:val="22"/>
          <w:szCs w:val="22"/>
        </w:rPr>
        <w:t xml:space="preserve">Krypteret kommunikation (TLS) ved fjernadgang og administration</w:t>
      </w:r>
    </w:p>
    <w:p>
      <w:pPr>
        <w:pStyle w:val="ListParagraph"/>
        <w:numPr>
          <w:ilvl w:val="0"/>
          <w:numId w:val="2"/>
        </w:numPr>
        <w:spacing w:after="80" w:line="300"/>
      </w:pPr>
      <w:r>
        <w:rPr>
          <w:color w:val="353532"/>
          <w:sz w:val="22"/>
          <w:szCs w:val="22"/>
        </w:rPr>
        <w:t xml:space="preserve">Krypteret lokal lagring på enheder der bruges til kundearbejde</w:t>
      </w:r>
    </w:p>
    <w:p>
      <w:pPr>
        <w:pStyle w:val="ListParagraph"/>
        <w:numPr>
          <w:ilvl w:val="0"/>
          <w:numId w:val="2"/>
        </w:numPr>
        <w:spacing w:after="80" w:line="300"/>
      </w:pPr>
      <w:r>
        <w:rPr>
          <w:color w:val="353532"/>
          <w:sz w:val="22"/>
          <w:szCs w:val="22"/>
        </w:rPr>
        <w:t xml:space="preserve">Adgang til kundesystemer logges hvor det er teknisk muligt</w:t>
      </w:r>
    </w:p>
    <w:p>
      <w:pPr>
        <w:pStyle w:val="ListParagraph"/>
        <w:numPr>
          <w:ilvl w:val="0"/>
          <w:numId w:val="2"/>
        </w:numPr>
        <w:spacing w:after="80" w:line="300"/>
      </w:pPr>
      <w:r>
        <w:rPr>
          <w:color w:val="353532"/>
          <w:sz w:val="22"/>
          <w:szCs w:val="22"/>
        </w:rPr>
        <w:t xml:space="preserve">Antivirus / endpoint-beskyttelse på arbejdsenheder</w:t>
      </w:r>
    </w:p>
    <w:p>
      <w:pPr>
        <w:pStyle w:val="ListParagraph"/>
        <w:numPr>
          <w:ilvl w:val="0"/>
          <w:numId w:val="2"/>
        </w:numPr>
        <w:spacing w:after="80" w:line="300"/>
      </w:pPr>
      <w:r>
        <w:rPr>
          <w:color w:val="353532"/>
          <w:sz w:val="22"/>
          <w:szCs w:val="22"/>
        </w:rPr>
        <w:t xml:space="preserve">Adgangsoplysninger opbevares i krypteret password manager</w:t>
      </w:r>
    </w:p>
    <w:p>
      <w:pPr>
        <w:pStyle w:val="ListParagraph"/>
        <w:numPr>
          <w:ilvl w:val="0"/>
          <w:numId w:val="2"/>
        </w:numPr>
        <w:spacing w:after="80" w:line="300"/>
      </w:pPr>
      <w:r>
        <w:rPr>
          <w:color w:val="353532"/>
          <w:sz w:val="22"/>
          <w:szCs w:val="22"/>
        </w:rPr>
        <w:t xml:space="preserve">Regelmæssige sikkerhedsopdateringer af eget IT-miljø</w:t>
      </w:r>
    </w:p>
    <w:p>
      <w:pPr>
        <w:pStyle w:val="ListParagraph"/>
        <w:numPr>
          <w:ilvl w:val="0"/>
          <w:numId w:val="2"/>
        </w:numPr>
        <w:spacing w:after="80" w:line="300"/>
      </w:pPr>
      <w:r>
        <w:rPr>
          <w:color w:val="353532"/>
          <w:sz w:val="22"/>
          <w:szCs w:val="22"/>
        </w:rPr>
        <w:t xml:space="preserve">Backup af eget arbejdsmiljø samt dokumentation</w:t>
      </w:r>
    </w:p>
    <w:p>
      <w:pPr>
        <w:pStyle w:val="Heading2"/>
        <w:spacing w:after="140" w:before="320"/>
      </w:pPr>
      <w:r>
        <w:rPr>
          <w:b/>
          <w:bCs/>
          <w:color w:val="353532"/>
          <w:sz w:val="26"/>
          <w:szCs w:val="26"/>
        </w:rPr>
        <w:t xml:space="preserve">6. Anvendelse af underdatabehandlere</w:t>
      </w:r>
    </w:p>
    <w:p>
      <w:pPr>
        <w:spacing w:after="140" w:line="320"/>
      </w:pPr>
      <w:r>
        <w:rPr>
          <w:color w:val="353532"/>
          <w:sz w:val="22"/>
          <w:szCs w:val="22"/>
        </w:rPr>
        <w:t xml:space="preserve">Databehandleren har Den dataansvarliges generelle godkendelse til at gøre brug af underdatabehandlere. Databehandleren skal dog underrette Den dataansvarlige om eventuelle planlagte ændringer vedrørende tilføjelse eller udskiftning af underdatabehandlere med mindst 30 dages varsel og derved give Den dataansvarlige mulighed for at gøre indsigelse mod sådanne ændringer.</w:t>
      </w:r>
    </w:p>
    <w:p>
      <w:pPr>
        <w:spacing w:after="140" w:line="320"/>
      </w:pPr>
      <w:r>
        <w:rPr>
          <w:color w:val="353532"/>
          <w:sz w:val="22"/>
          <w:szCs w:val="22"/>
        </w:rPr>
        <w:t xml:space="preserve">Databehandleren sikrer at underdatabehandlere pålægges samme databeskyttelsesforpligtelser som dem der er fastsat i denne Aftale, gennem en kontrakt eller andet retligt dokument i henhold til EU-retten eller medlemsstaternes nationale ret.</w:t>
      </w:r>
    </w:p>
    <w:p>
      <w:pPr>
        <w:pStyle w:val="Heading3"/>
        <w:spacing w:after="100" w:before="200"/>
      </w:pPr>
      <w:r>
        <w:rPr>
          <w:b/>
          <w:bCs/>
          <w:color w:val="353532"/>
          <w:sz w:val="22"/>
          <w:szCs w:val="22"/>
        </w:rPr>
        <w:t xml:space="preserve">6.1 Aktuelle underdatabehandlere</w:t>
      </w:r>
    </w:p>
    <w:p>
      <w:pPr>
        <w:spacing w:after="140" w:line="320"/>
      </w:pPr>
      <w:r>
        <w:rPr>
          <w:color w:val="353532"/>
          <w:sz w:val="22"/>
          <w:szCs w:val="22"/>
        </w:rPr>
        <w:t xml:space="preserve">På tidspunktet for Aftalens indgåelse anvender Databehandleren følgende underdatabehandlere afhængigt af konkrete kundeopgaver: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88"/>
        <w:gridCol w:w="3881"/>
        <w:gridCol w:w="2257"/>
      </w:tblGrid>
      <w:tr>
        <w:trPr>
          <w:tblHeader/>
        </w:trPr>
        <w:tc>
          <w:tcPr>
            <w:tcW w:type="dxa" w:w="2888"/>
            <w:tcBorders>
              <w:top w:val="single" w:color="D5D5D0" w:sz="4"/>
              <w:left w:val="single" w:color="D5D5D0" w:sz="4"/>
              <w:bottom w:val="single" w:color="D5D5D0" w:sz="4"/>
              <w:right w:val="single" w:color="D5D5D0" w:sz="4"/>
            </w:tcBorders>
            <w:shd w:fill="F5F5F2" w:val="clear"/>
            <w:tcMar>
              <w:top w:type="dxa" w:w="100"/>
              <w:left w:type="dxa" w:w="140"/>
              <w:bottom w:type="dxa" w:w="100"/>
              <w:right w:type="dxa" w:w="140"/>
            </w:tcMar>
          </w:tcPr>
          <w:p>
            <w:pPr>
              <w:spacing w:after="0"/>
            </w:pPr>
            <w:r>
              <w:rPr>
                <w:b/>
                <w:bCs/>
                <w:color w:val="353532"/>
                <w:sz w:val="20"/>
                <w:szCs w:val="20"/>
              </w:rPr>
              <w:t xml:space="preserve">Underdatabehandler</w:t>
            </w:r>
          </w:p>
        </w:tc>
        <w:tc>
          <w:tcPr>
            <w:tcW w:type="dxa" w:w="3881"/>
            <w:tcBorders>
              <w:top w:val="single" w:color="D5D5D0" w:sz="4"/>
              <w:left w:val="single" w:color="D5D5D0" w:sz="4"/>
              <w:bottom w:val="single" w:color="D5D5D0" w:sz="4"/>
              <w:right w:val="single" w:color="D5D5D0" w:sz="4"/>
            </w:tcBorders>
            <w:shd w:fill="F5F5F2" w:val="clear"/>
            <w:tcMar>
              <w:top w:type="dxa" w:w="100"/>
              <w:left w:type="dxa" w:w="140"/>
              <w:bottom w:type="dxa" w:w="100"/>
              <w:right w:type="dxa" w:w="140"/>
            </w:tcMar>
          </w:tcPr>
          <w:p>
            <w:pPr>
              <w:spacing w:after="0"/>
            </w:pPr>
            <w:r>
              <w:rPr>
                <w:b/>
                <w:bCs/>
                <w:color w:val="353532"/>
                <w:sz w:val="20"/>
                <w:szCs w:val="20"/>
              </w:rPr>
              <w:t xml:space="preserve">Behandlingsformål</w:t>
            </w:r>
          </w:p>
        </w:tc>
        <w:tc>
          <w:tcPr>
            <w:tcW w:type="dxa" w:w="2257"/>
            <w:tcBorders>
              <w:top w:val="single" w:color="D5D5D0" w:sz="4"/>
              <w:left w:val="single" w:color="D5D5D0" w:sz="4"/>
              <w:bottom w:val="single" w:color="D5D5D0" w:sz="4"/>
              <w:right w:val="single" w:color="D5D5D0" w:sz="4"/>
            </w:tcBorders>
            <w:shd w:fill="F5F5F2" w:val="clear"/>
            <w:tcMar>
              <w:top w:type="dxa" w:w="100"/>
              <w:left w:type="dxa" w:w="140"/>
              <w:bottom w:type="dxa" w:w="100"/>
              <w:right w:type="dxa" w:w="140"/>
            </w:tcMar>
          </w:tcPr>
          <w:p>
            <w:pPr>
              <w:spacing w:after="0"/>
            </w:pPr>
            <w:r>
              <w:rPr>
                <w:b/>
                <w:bCs/>
                <w:color w:val="353532"/>
                <w:sz w:val="20"/>
                <w:szCs w:val="20"/>
              </w:rPr>
              <w:t xml:space="preserve">Lokation</w:t>
            </w:r>
          </w:p>
        </w:tc>
      </w:tr>
      <w:tr>
        <w:tc>
          <w:tcPr>
            <w:tcW w:type="dxa" w:w="2888"/>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Microsoft Ireland Operations Ltd.</w:t>
            </w:r>
          </w:p>
        </w:tc>
        <w:tc>
          <w:tcPr>
            <w:tcW w:type="dxa" w:w="3881"/>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Microsoft 365, Azure, Entra ID — administration og support</w:t>
            </w:r>
          </w:p>
        </w:tc>
        <w:tc>
          <w:tcPr>
            <w:tcW w:type="dxa" w:w="2257"/>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EU (Irland)</w:t>
            </w:r>
          </w:p>
        </w:tc>
      </w:tr>
      <w:tr>
        <w:tc>
          <w:tcPr>
            <w:tcW w:type="dxa" w:w="2888"/>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Google Ireland Limited</w:t>
            </w:r>
          </w:p>
        </w:tc>
        <w:tc>
          <w:tcPr>
            <w:tcW w:type="dxa" w:w="3881"/>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Google Workspace, Cloud Identity — administration og support</w:t>
            </w:r>
          </w:p>
        </w:tc>
        <w:tc>
          <w:tcPr>
            <w:tcW w:type="dxa" w:w="2257"/>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EU (Irland)</w:t>
            </w:r>
          </w:p>
        </w:tc>
      </w:tr>
      <w:tr>
        <w:tc>
          <w:tcPr>
            <w:tcW w:type="dxa" w:w="2888"/>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Apple Distribution International Ltd.</w:t>
            </w:r>
          </w:p>
        </w:tc>
        <w:tc>
          <w:tcPr>
            <w:tcW w:type="dxa" w:w="3881"/>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Apple School Manager / Business Manager — administration af lokale tenants</w:t>
            </w:r>
          </w:p>
        </w:tc>
        <w:tc>
          <w:tcPr>
            <w:tcW w:type="dxa" w:w="2257"/>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EU (Irland)</w:t>
            </w:r>
          </w:p>
        </w:tc>
      </w:tr>
      <w:tr>
        <w:tc>
          <w:tcPr>
            <w:tcW w:type="dxa" w:w="2888"/>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Mosyle Corporation</w:t>
            </w:r>
          </w:p>
        </w:tc>
        <w:tc>
          <w:tcPr>
            <w:tcW w:type="dxa" w:w="3881"/>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MDM (mobile device management) til Apple-enheder</w:t>
            </w:r>
          </w:p>
        </w:tc>
        <w:tc>
          <w:tcPr>
            <w:tcW w:type="dxa" w:w="2257"/>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USA (DPF-certificeret)</w:t>
            </w:r>
          </w:p>
        </w:tc>
      </w:tr>
      <w:tr>
        <w:tc>
          <w:tcPr>
            <w:tcW w:type="dxa" w:w="2888"/>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Trend Micro EMEA Ltd.</w:t>
            </w:r>
          </w:p>
        </w:tc>
        <w:tc>
          <w:tcPr>
            <w:tcW w:type="dxa" w:w="3881"/>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Antivirus / endpoint-beskyttelse</w:t>
            </w:r>
          </w:p>
        </w:tc>
        <w:tc>
          <w:tcPr>
            <w:tcW w:type="dxa" w:w="2257"/>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EU</w:t>
            </w:r>
          </w:p>
        </w:tc>
      </w:tr>
      <w:tr>
        <w:tc>
          <w:tcPr>
            <w:tcW w:type="dxa" w:w="2888"/>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Lenovo Technology B.V.</w:t>
            </w:r>
          </w:p>
        </w:tc>
        <w:tc>
          <w:tcPr>
            <w:tcW w:type="dxa" w:w="3881"/>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Hardware-support, garantibehandling og fjernsupport</w:t>
            </w:r>
          </w:p>
        </w:tc>
        <w:tc>
          <w:tcPr>
            <w:tcW w:type="dxa" w:w="2257"/>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EU (Holland)</w:t>
            </w:r>
          </w:p>
        </w:tc>
      </w:tr>
      <w:tr>
        <w:tc>
          <w:tcPr>
            <w:tcW w:type="dxa" w:w="2888"/>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Backblaze Inc.</w:t>
            </w:r>
          </w:p>
        </w:tc>
        <w:tc>
          <w:tcPr>
            <w:tcW w:type="dxa" w:w="3881"/>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Krypteret offsite backup (3-2-1-strategi)</w:t>
            </w:r>
          </w:p>
        </w:tc>
        <w:tc>
          <w:tcPr>
            <w:tcW w:type="dxa" w:w="2257"/>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EU-region kan vælges</w:t>
            </w:r>
          </w:p>
        </w:tc>
      </w:tr>
      <w:tr>
        <w:tc>
          <w:tcPr>
            <w:tcW w:type="dxa" w:w="2888"/>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Hetzner Online GmbH</w:t>
            </w:r>
          </w:p>
        </w:tc>
        <w:tc>
          <w:tcPr>
            <w:tcW w:type="dxa" w:w="3881"/>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Server- og hostinginfrastruktur</w:t>
            </w:r>
          </w:p>
        </w:tc>
        <w:tc>
          <w:tcPr>
            <w:tcW w:type="dxa" w:w="2257"/>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EU (Tyskland / Finland)</w:t>
            </w:r>
          </w:p>
        </w:tc>
      </w:tr>
      <w:tr>
        <w:tc>
          <w:tcPr>
            <w:tcW w:type="dxa" w:w="2888"/>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Simply.com ApS</w:t>
            </w:r>
          </w:p>
        </w:tc>
        <w:tc>
          <w:tcPr>
            <w:tcW w:type="dxa" w:w="3881"/>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Hosting af hellum.it samt enkelte kundeløsninger</w:t>
            </w:r>
          </w:p>
        </w:tc>
        <w:tc>
          <w:tcPr>
            <w:tcW w:type="dxa" w:w="2257"/>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EU (Danmark)</w:t>
            </w:r>
          </w:p>
        </w:tc>
      </w:tr>
      <w:tr>
        <w:tc>
          <w:tcPr>
            <w:tcW w:type="dxa" w:w="2888"/>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Dynaccount ApS</w:t>
            </w:r>
          </w:p>
        </w:tc>
        <w:tc>
          <w:tcPr>
            <w:tcW w:type="dxa" w:w="3881"/>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Bogføringssystem (fakturerings- og kontaktoplysninger)</w:t>
            </w:r>
          </w:p>
        </w:tc>
        <w:tc>
          <w:tcPr>
            <w:tcW w:type="dxa" w:w="2257"/>
            <w:tcBorders>
              <w:top w:val="single" w:color="D5D5D0" w:sz="4"/>
              <w:left w:val="single" w:color="D5D5D0" w:sz="4"/>
              <w:bottom w:val="single" w:color="D5D5D0" w:sz="4"/>
              <w:right w:val="single" w:color="D5D5D0" w:sz="4"/>
            </w:tcBorders>
            <w:tcMar>
              <w:top w:type="dxa" w:w="100"/>
              <w:left w:type="dxa" w:w="140"/>
              <w:bottom w:type="dxa" w:w="100"/>
              <w:right w:type="dxa" w:w="140"/>
            </w:tcMar>
          </w:tcPr>
          <w:p>
            <w:pPr>
              <w:spacing w:after="0"/>
            </w:pPr>
            <w:r>
              <w:rPr>
                <w:color w:val="353532"/>
                <w:sz w:val="20"/>
                <w:szCs w:val="20"/>
              </w:rPr>
              <w:t xml:space="preserve">EU (Danmark)</w:t>
            </w:r>
          </w:p>
        </w:tc>
      </w:tr>
    </w:tbl>
    <w:p>
      <w:pPr>
        <w:spacing w:after="160"/>
      </w:pPr>
    </w:p>
    <w:p>
      <w:pPr>
        <w:spacing w:after="140" w:line="320"/>
      </w:pPr>
      <w:r>
        <w:rPr>
          <w:i/>
          <w:iCs/>
          <w:color w:val="353532"/>
          <w:sz w:val="22"/>
          <w:szCs w:val="22"/>
        </w:rPr>
        <w:t xml:space="preserve">Listen er ikke udtømmende for alle teoretisk anvendelige underdatabehandlere — kun de der reelt får adgang til personoplysninger som led i opgaven for Den dataansvarlige er omfattet. Yderligere underdatabehandlere kan tilføjes pr. kunde efter konkret aftale.</w:t>
      </w:r>
    </w:p>
    <w:p>
      <w:pPr>
        <w:pStyle w:val="Heading2"/>
        <w:spacing w:after="140" w:before="320"/>
      </w:pPr>
      <w:r>
        <w:rPr>
          <w:b/>
          <w:bCs/>
          <w:color w:val="353532"/>
          <w:sz w:val="26"/>
          <w:szCs w:val="26"/>
        </w:rPr>
        <w:t xml:space="preserve">7. Overførsel af oplysninger til tredjelande</w:t>
      </w:r>
    </w:p>
    <w:p>
      <w:pPr>
        <w:spacing w:after="140" w:line="320"/>
      </w:pPr>
      <w:r>
        <w:rPr>
          <w:color w:val="353532"/>
          <w:sz w:val="22"/>
          <w:szCs w:val="22"/>
        </w:rPr>
        <w:t xml:space="preserve">Databehandleren søger primært at anvende underdatabehandlere etableret inden for EU/EØS. Hvor overførsel til tredjelande er nødvendig — eksempelvis ved brug af amerikanske leverandører — sikrer Databehandleren at overførslen sker på et lovligt grundlag, fx:</w:t>
      </w:r>
    </w:p>
    <w:p>
      <w:pPr>
        <w:pStyle w:val="ListParagraph"/>
        <w:numPr>
          <w:ilvl w:val="0"/>
          <w:numId w:val="2"/>
        </w:numPr>
        <w:spacing w:after="80" w:line="300"/>
      </w:pPr>
      <w:r>
        <w:rPr>
          <w:color w:val="353532"/>
          <w:sz w:val="22"/>
          <w:szCs w:val="22"/>
        </w:rPr>
        <w:t xml:space="preserve">EU-Kommissionens beslutning om tilstrækkeligt beskyttelsesniveau (herunder EU-US Data Privacy Framework hvor relevant)</w:t>
      </w:r>
    </w:p>
    <w:p>
      <w:pPr>
        <w:pStyle w:val="ListParagraph"/>
        <w:numPr>
          <w:ilvl w:val="0"/>
          <w:numId w:val="2"/>
        </w:numPr>
        <w:spacing w:after="80" w:line="300"/>
      </w:pPr>
      <w:r>
        <w:rPr>
          <w:color w:val="353532"/>
          <w:sz w:val="22"/>
          <w:szCs w:val="22"/>
        </w:rPr>
        <w:t xml:space="preserve">EU-Kommissionens standardkontraktbestemmelser (SCC'er)</w:t>
      </w:r>
    </w:p>
    <w:p>
      <w:pPr>
        <w:pStyle w:val="ListParagraph"/>
        <w:numPr>
          <w:ilvl w:val="0"/>
          <w:numId w:val="2"/>
        </w:numPr>
        <w:spacing w:after="80" w:line="300"/>
      </w:pPr>
      <w:r>
        <w:rPr>
          <w:color w:val="353532"/>
          <w:sz w:val="22"/>
          <w:szCs w:val="22"/>
        </w:rPr>
        <w:t xml:space="preserve">Andre passende garantier i henhold til GDPR art. 46</w:t>
      </w:r>
    </w:p>
    <w:p>
      <w:pPr>
        <w:spacing w:after="140" w:line="320"/>
      </w:pPr>
      <w:r>
        <w:rPr>
          <w:color w:val="353532"/>
          <w:sz w:val="22"/>
          <w:szCs w:val="22"/>
        </w:rPr>
        <w:t xml:space="preserve">Den dataansvarlige kan til enhver tid anmode om dokumentation for overførselsgrundlaget for en given underdatabehandler.</w:t>
      </w:r>
    </w:p>
    <w:p>
      <w:pPr>
        <w:pStyle w:val="Heading2"/>
        <w:spacing w:after="140" w:before="320"/>
      </w:pPr>
      <w:r>
        <w:rPr>
          <w:b/>
          <w:bCs/>
          <w:color w:val="353532"/>
          <w:sz w:val="26"/>
          <w:szCs w:val="26"/>
        </w:rPr>
        <w:t xml:space="preserve">8. Bistand til Den dataansvarlige</w:t>
      </w:r>
    </w:p>
    <w:p>
      <w:pPr>
        <w:spacing w:after="140" w:line="320"/>
      </w:pPr>
      <w:r>
        <w:rPr>
          <w:color w:val="353532"/>
          <w:sz w:val="22"/>
          <w:szCs w:val="22"/>
        </w:rPr>
        <w:t xml:space="preserve">Databehandleren bistår, under hensyntagen til behandlingens karakter og så vidt muligt, Den dataansvarlige med passende tekniske og organisatoriske foranstaltninger med opfyldelse af Den dataansvarliges forpligtelse til at besvare anmodninger om udøvelsen af registreredes rettigheder (GDPR art. 12-22).</w:t>
      </w:r>
    </w:p>
    <w:p>
      <w:pPr>
        <w:spacing w:after="140" w:line="320"/>
      </w:pPr>
      <w:r>
        <w:rPr>
          <w:color w:val="353532"/>
          <w:sz w:val="22"/>
          <w:szCs w:val="22"/>
        </w:rPr>
        <w:t xml:space="preserve">Databehandleren bistår desuden Den dataansvarlige med at sikre overholdelse af forpligtelserne i GDPR art. 32-36 (sikkerhed, brudshåndtering, konsekvensanalyse, forudgående høring) under hensyntagen til behandlingens karakter og de oplysninger der er tilgængelige for Databehandleren.</w:t>
      </w:r>
    </w:p>
    <w:p>
      <w:pPr>
        <w:pStyle w:val="Heading2"/>
        <w:spacing w:after="140" w:before="320"/>
      </w:pPr>
      <w:r>
        <w:rPr>
          <w:b/>
          <w:bCs/>
          <w:color w:val="353532"/>
          <w:sz w:val="26"/>
          <w:szCs w:val="26"/>
        </w:rPr>
        <w:t xml:space="preserve">9. Underretning om brud på persondatasikkerheden</w:t>
      </w:r>
    </w:p>
    <w:p>
      <w:pPr>
        <w:spacing w:after="140" w:line="320"/>
      </w:pPr>
      <w:r>
        <w:rPr>
          <w:color w:val="353532"/>
          <w:sz w:val="22"/>
          <w:szCs w:val="22"/>
        </w:rPr>
        <w:t>Databehandleren underretter uden unødig forsinkelse Den dataansvarlige skriftligt efter at være blevet opmærksom på et brud på persondatasikkerheden. Underretningen indeholder mindst:</w:t>
      </w:r>
    </w:p>
    <w:p>
      <w:pPr>
        <w:pStyle w:val="ListParagraph"/>
        <w:numPr>
          <w:ilvl w:val="0"/>
          <w:numId w:val="2"/>
        </w:numPr>
        <w:spacing w:after="80" w:line="300"/>
      </w:pPr>
      <w:r>
        <w:rPr>
          <w:color w:val="353532"/>
          <w:sz w:val="22"/>
          <w:szCs w:val="22"/>
        </w:rPr>
        <w:t xml:space="preserve">Beskrivelse af bruddets karakter, herunder kategorier og omtrentligt antal berørte registrerede og dataposter</w:t>
      </w:r>
    </w:p>
    <w:p>
      <w:pPr>
        <w:pStyle w:val="ListParagraph"/>
        <w:numPr>
          <w:ilvl w:val="0"/>
          <w:numId w:val="2"/>
        </w:numPr>
        <w:spacing w:after="80" w:line="300"/>
      </w:pPr>
      <w:r>
        <w:rPr>
          <w:color w:val="353532"/>
          <w:sz w:val="22"/>
          <w:szCs w:val="22"/>
        </w:rPr>
        <w:t xml:space="preserve">Sandsynlige konsekvenser af bruddet</w:t>
      </w:r>
    </w:p>
    <w:p>
      <w:pPr>
        <w:pStyle w:val="ListParagraph"/>
        <w:numPr>
          <w:ilvl w:val="0"/>
          <w:numId w:val="2"/>
        </w:numPr>
        <w:spacing w:after="80" w:line="300"/>
      </w:pPr>
      <w:r>
        <w:rPr>
          <w:color w:val="353532"/>
          <w:sz w:val="22"/>
          <w:szCs w:val="22"/>
        </w:rPr>
        <w:t xml:space="preserve">Foranstaltninger Databehandleren har truffet eller foreslår truffet for at håndtere bruddet, herunder for at begrænse skadelige virkninger</w:t>
      </w:r>
    </w:p>
    <w:p>
      <w:pPr>
        <w:pStyle w:val="ListParagraph"/>
        <w:numPr>
          <w:ilvl w:val="0"/>
          <w:numId w:val="2"/>
        </w:numPr>
        <w:spacing w:after="80" w:line="300"/>
      </w:pPr>
      <w:r>
        <w:rPr>
          <w:color w:val="353532"/>
          <w:sz w:val="22"/>
          <w:szCs w:val="22"/>
        </w:rPr>
        <w:t xml:space="preserve">Kontaktoplysninger på den person hvor yderligere oplysninger kan indhentes</w:t>
      </w:r>
    </w:p>
    <w:p>
      <w:pPr>
        <w:spacing w:after="140" w:line="320"/>
      </w:pPr>
      <w:r>
        <w:rPr>
          <w:color w:val="353532"/>
          <w:sz w:val="22"/>
          <w:szCs w:val="22"/>
        </w:rPr>
        <w:t xml:space="preserve">Hvis det ikke er muligt at give alle oplysninger samtidigt, kan oplysningerne meddeles trinvis uden unødig yderligere forsinkelse.</w:t>
      </w:r>
    </w:p>
    <w:p>
      <w:pPr>
        <w:pStyle w:val="Heading2"/>
        <w:spacing w:after="140" w:before="320"/>
      </w:pPr>
      <w:r>
        <w:rPr>
          <w:b/>
          <w:bCs/>
          <w:color w:val="353532"/>
          <w:sz w:val="26"/>
          <w:szCs w:val="26"/>
        </w:rPr>
        <w:t xml:space="preserve">10. Tilsyn og dokumentation</w:t>
      </w:r>
    </w:p>
    <w:p>
      <w:pPr>
        <w:spacing w:after="140" w:line="320"/>
      </w:pPr>
      <w:r>
        <w:rPr>
          <w:color w:val="353532"/>
          <w:sz w:val="22"/>
          <w:szCs w:val="22"/>
        </w:rPr>
        <w:t xml:space="preserve">Databehandleren stiller alle oplysninger der er nødvendige for at påvise overholdelse af GDPR art. 28 og denne Aftale til rådighed for Den dataansvarlige, og giver mulighed for og bidrager til revisioner — herunder inspektioner — der foretages af Den dataansvarlige eller en anden revisor som er bemyndiget af Den dataansvarlige.</w:t>
      </w:r>
    </w:p>
    <w:p>
      <w:pPr>
        <w:spacing w:after="140" w:line="320"/>
      </w:pPr>
      <w:r>
        <w:rPr>
          <w:color w:val="353532"/>
          <w:sz w:val="22"/>
          <w:szCs w:val="22"/>
        </w:rPr>
        <w:t xml:space="preserve">Givet Databehandlerens størrelse og karakter accepteres følgende som udgangspunkt som tilstrækkelig dokumentation:</w:t>
      </w:r>
    </w:p>
    <w:p>
      <w:pPr>
        <w:pStyle w:val="ListParagraph"/>
        <w:numPr>
          <w:ilvl w:val="0"/>
          <w:numId w:val="2"/>
        </w:numPr>
        <w:spacing w:after="80" w:line="300"/>
      </w:pPr>
      <w:r>
        <w:rPr>
          <w:color w:val="353532"/>
          <w:sz w:val="22"/>
          <w:szCs w:val="22"/>
        </w:rPr>
        <w:t xml:space="preserve">Skriftlig redegørelse fra Databehandleren om aktuelle tekniske og organisatoriske foranstaltninger</w:t>
      </w:r>
    </w:p>
    <w:p>
      <w:pPr>
        <w:pStyle w:val="ListParagraph"/>
        <w:numPr>
          <w:ilvl w:val="0"/>
          <w:numId w:val="2"/>
        </w:numPr>
        <w:spacing w:after="80" w:line="300"/>
      </w:pPr>
      <w:r>
        <w:rPr>
          <w:color w:val="353532"/>
          <w:sz w:val="22"/>
          <w:szCs w:val="22"/>
        </w:rPr>
        <w:t xml:space="preserve">Dokumentation for underdatabehandleres certificeringer (ISO 27001, SOC 2 m.fl.) hvor relevant</w:t>
      </w:r>
    </w:p>
    <w:p>
      <w:pPr>
        <w:pStyle w:val="ListParagraph"/>
        <w:numPr>
          <w:ilvl w:val="0"/>
          <w:numId w:val="2"/>
        </w:numPr>
        <w:spacing w:after="80" w:line="300"/>
      </w:pPr>
      <w:r>
        <w:rPr>
          <w:color w:val="353532"/>
          <w:sz w:val="22"/>
          <w:szCs w:val="22"/>
        </w:rPr>
        <w:t xml:space="preserve">Mulighed for spørgsmål-og-svar-runde mellem parterne én gang årligt</w:t>
      </w:r>
    </w:p>
    <w:p>
      <w:pPr>
        <w:spacing w:after="140" w:line="320"/>
      </w:pPr>
      <w:r>
        <w:rPr>
          <w:color w:val="353532"/>
          <w:sz w:val="22"/>
          <w:szCs w:val="22"/>
        </w:rPr>
        <w:t xml:space="preserve">Fysiske inspektioner kan aftales særskilt mod rimelig betaling for medgået tid.</w:t>
      </w:r>
    </w:p>
    <w:p>
      <w:pPr>
        <w:pStyle w:val="Heading2"/>
        <w:spacing w:after="140" w:before="320"/>
      </w:pPr>
      <w:r>
        <w:rPr>
          <w:b/>
          <w:bCs/>
          <w:color w:val="353532"/>
          <w:sz w:val="26"/>
          <w:szCs w:val="26"/>
        </w:rPr>
        <w:t xml:space="preserve">11. Sletning og tilbagelevering af oplysninger</w:t>
      </w:r>
    </w:p>
    <w:p>
      <w:pPr>
        <w:spacing w:after="140" w:line="320"/>
      </w:pPr>
      <w:r>
        <w:rPr>
          <w:color w:val="353532"/>
          <w:sz w:val="22"/>
          <w:szCs w:val="22"/>
        </w:rPr>
        <w:t xml:space="preserve">Ved Aftalens ophør sletter eller tilbageleverer Databehandleren — efter Den dataansvarliges valg — alle personoplysninger til Den dataansvarlige og sletter eksisterende kopier, medmindre EU-retten eller dansk ret foreskriver opbevaring af personoplysningerne.</w:t>
      </w:r>
    </w:p>
    <w:p>
      <w:pPr>
        <w:spacing w:after="140" w:line="320"/>
      </w:pPr>
      <w:r>
        <w:rPr>
          <w:color w:val="353532"/>
          <w:sz w:val="22"/>
          <w:szCs w:val="22"/>
        </w:rPr>
        <w:t xml:space="preserve">Databehandleren bekræfter skriftligt at sletning eller tilbagelevering har fundet sted senest 30 dage efter Aftalens ophør, medmindre andet aftales.</w:t>
      </w:r>
    </w:p>
    <w:p>
      <w:pPr>
        <w:pStyle w:val="Heading2"/>
        <w:spacing w:after="140" w:before="320"/>
      </w:pPr>
      <w:r>
        <w:rPr>
          <w:b/>
          <w:bCs/>
          <w:color w:val="353532"/>
          <w:sz w:val="26"/>
          <w:szCs w:val="26"/>
        </w:rPr>
        <w:t xml:space="preserve">12. Ansvar</w:t>
      </w:r>
    </w:p>
    <w:p>
      <w:pPr>
        <w:spacing w:after="140" w:line="320"/>
      </w:pPr>
      <w:r>
        <w:rPr>
          <w:color w:val="353532"/>
          <w:sz w:val="22"/>
          <w:szCs w:val="22"/>
        </w:rPr>
        <w:t xml:space="preserve">Parterne er hver især ansvarlige i overensstemmelse med GDPR art. 82. Ansvarsbegrænsningerne i hovedaftalen mellem parterne finder også anvendelse på denne Aftale, dog således at ansvarsbegrænsninger ikke kan begrænse den enkelte parts ansvar over for registrerede eller tilsynsmyndigheder.</w:t>
      </w:r>
    </w:p>
    <w:p>
      <w:pPr>
        <w:pStyle w:val="Heading2"/>
        <w:spacing w:after="140" w:before="320"/>
      </w:pPr>
      <w:r>
        <w:rPr>
          <w:b/>
          <w:bCs/>
          <w:color w:val="353532"/>
          <w:sz w:val="26"/>
          <w:szCs w:val="26"/>
        </w:rPr>
        <w:t xml:space="preserve">13. Ændringer af aftalen</w:t>
      </w:r>
    </w:p>
    <w:p>
      <w:pPr>
        <w:spacing w:after="140" w:line="320"/>
      </w:pPr>
      <w:r>
        <w:rPr>
          <w:color w:val="353532"/>
          <w:sz w:val="22"/>
          <w:szCs w:val="22"/>
        </w:rPr>
        <w:t xml:space="preserve">Ændringer af denne Aftale kræver skriftlig accept fra begge parter. Mindre tekniske ajourføringer — fx opdatering af underdatabehandler-listen — kan dog gennemføres efter underretning til Den dataansvarlige med 30 dages varsel.</w:t>
      </w:r>
    </w:p>
    <w:p>
      <w:pPr>
        <w:pStyle w:val="Heading2"/>
        <w:spacing w:after="140" w:before="320"/>
      </w:pPr>
      <w:r>
        <w:rPr>
          <w:b/>
          <w:bCs/>
          <w:color w:val="353532"/>
          <w:sz w:val="26"/>
          <w:szCs w:val="26"/>
        </w:rPr>
        <w:t xml:space="preserve">14. Lovvalg og værneting</w:t>
      </w:r>
    </w:p>
    <w:p>
      <w:pPr>
        <w:spacing w:after="140" w:line="320"/>
      </w:pPr>
      <w:r>
        <w:rPr>
          <w:color w:val="353532"/>
          <w:sz w:val="22"/>
          <w:szCs w:val="22"/>
        </w:rPr>
        <w:t xml:space="preserve">Aftalen er underlagt dansk ret. Eventuelle tvister søges først løst i mindelighed. Hvis dette ikke er muligt, afgøres tvister ved Retten i Svendborg som første instans.</w:t>
      </w:r>
    </w:p>
    <w:p>
      <w:pPr>
        <w:spacing w:after="400"/>
      </w:pPr>
    </w:p>
    <w:p>
      <w:pPr>
        <w:pStyle w:val="Heading2"/>
        <w:spacing w:after="140" w:before="320"/>
      </w:pPr>
      <w:r>
        <w:rPr>
          <w:b/>
          <w:bCs/>
          <w:color w:val="353532"/>
          <w:sz w:val="26"/>
          <w:szCs w:val="26"/>
        </w:rPr>
        <w:t xml:space="preserve">Underskrifter</w:t>
      </w:r>
    </w:p>
    <w:p>
      <w:pPr>
        <w:spacing w:after="140" w:line="320"/>
      </w:pPr>
      <w:r>
        <w:rPr>
          <w:color w:val="353532"/>
          <w:sz w:val="22"/>
          <w:szCs w:val="22"/>
        </w:rPr>
        <w:t xml:space="preserve">Aftalen underskrives i to eksemplarer — ét til hver part.</w:t>
      </w:r>
    </w:p>
    <w:p>
      <w:pP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none"/>
              <w:left w:val="none"/>
              <w:bottom w:val="none"/>
              <w:right w:val="none"/>
            </w:tcBorders>
            <w:tcMar>
              <w:top w:type="dxa" w:w="100"/>
              <w:left w:type="dxa" w:w="100"/>
              <w:bottom w:type="dxa" w:w="100"/>
              <w:right w:type="dxa" w:w="200"/>
            </w:tcMar>
          </w:tcPr>
          <w:p>
            <w:pPr>
              <w:spacing w:after="400"/>
            </w:pPr>
            <w:r>
              <w:rPr>
                <w:b/>
                <w:bCs/>
                <w:i w:val="false"/>
                <w:iCs w:val="false"/>
                <w:color w:val="6B6B66"/>
                <w:sz w:val="20"/>
                <w:szCs w:val="20"/>
              </w:rPr>
              <w:t xml:space="preserve">For Den dataansvarlige (Kunden):</w:t>
            </w:r>
          </w:p>
          <w:p>
            <w:pPr>
              <w:spacing w:after="60"/>
            </w:pPr>
            <w:r>
              <w:rPr>
                <w:b w:val="false"/>
                <w:bCs w:val="false"/>
                <w:i w:val="false"/>
                <w:iCs w:val="false"/>
                <w:color w:val="353532"/>
                <w:sz w:val="22"/>
                <w:szCs w:val="22"/>
              </w:rPr>
              <w:t xml:space="preserve">_______________________________</w:t>
            </w:r>
          </w:p>
          <w:p>
            <w:pPr>
              <w:spacing w:after="240"/>
            </w:pPr>
            <w:r>
              <w:rPr>
                <w:b w:val="false"/>
                <w:bCs w:val="false"/>
                <w:i w:val="false"/>
                <w:iCs w:val="false"/>
                <w:color w:val="6B6B66"/>
                <w:sz w:val="18"/>
                <w:szCs w:val="18"/>
              </w:rPr>
              <w:t xml:space="preserve">Dato og underskrift</w:t>
            </w:r>
          </w:p>
          <w:p>
            <w:pPr>
              <w:spacing w:after="60"/>
            </w:pPr>
            <w:r>
              <w:rPr>
                <w:b w:val="false"/>
                <w:bCs w:val="false"/>
                <w:i w:val="false"/>
                <w:iCs w:val="false"/>
                <w:color w:val="353532"/>
                <w:sz w:val="22"/>
                <w:szCs w:val="22"/>
              </w:rPr>
              <w:t xml:space="preserve">_______________________________</w:t>
            </w:r>
          </w:p>
          <w:p>
            <w:pPr>
              <w:spacing w:after="240"/>
            </w:pPr>
            <w:r>
              <w:rPr>
                <w:b w:val="false"/>
                <w:bCs w:val="false"/>
                <w:i w:val="false"/>
                <w:iCs w:val="false"/>
                <w:color w:val="6B6B66"/>
                <w:sz w:val="18"/>
                <w:szCs w:val="18"/>
              </w:rPr>
              <w:t xml:space="preserve">Navn (blokbogstaver)</w:t>
            </w:r>
          </w:p>
          <w:p>
            <w:pPr>
              <w:spacing w:after="60"/>
            </w:pPr>
            <w:r>
              <w:rPr>
                <w:b w:val="false"/>
                <w:bCs w:val="false"/>
                <w:i w:val="false"/>
                <w:iCs w:val="false"/>
                <w:color w:val="353532"/>
                <w:sz w:val="22"/>
                <w:szCs w:val="22"/>
              </w:rPr>
              <w:t xml:space="preserve">_______________________________</w:t>
            </w:r>
          </w:p>
          <w:p>
            <w:pPr>
              <w:spacing w:after="60"/>
            </w:pPr>
            <w:r>
              <w:rPr>
                <w:b w:val="false"/>
                <w:bCs w:val="false"/>
                <w:i w:val="false"/>
                <w:iCs w:val="false"/>
                <w:color w:val="6B6B66"/>
                <w:sz w:val="18"/>
                <w:szCs w:val="18"/>
              </w:rPr>
              <w:t xml:space="preserve">Stilling</w:t>
            </w:r>
          </w:p>
        </w:tc>
        <w:tc>
          <w:tcPr>
            <w:tcW w:type="dxa" w:w="4513"/>
            <w:tcBorders>
              <w:top w:val="none"/>
              <w:left w:val="none"/>
              <w:bottom w:val="none"/>
              <w:right w:val="none"/>
            </w:tcBorders>
            <w:tcMar>
              <w:top w:type="dxa" w:w="100"/>
              <w:left w:type="dxa" w:w="200"/>
              <w:bottom w:type="dxa" w:w="100"/>
              <w:right w:type="dxa" w:w="100"/>
            </w:tcMar>
          </w:tcPr>
          <w:p>
            <w:pPr>
              <w:spacing w:after="400"/>
            </w:pPr>
            <w:r>
              <w:rPr>
                <w:b/>
                <w:bCs/>
                <w:i w:val="false"/>
                <w:iCs w:val="false"/>
                <w:color w:val="6B6B66"/>
                <w:sz w:val="20"/>
                <w:szCs w:val="20"/>
              </w:rPr>
              <w:t xml:space="preserve">For Databehandleren (Hellum IT ApS):</w:t>
            </w:r>
          </w:p>
          <w:p>
            <w:pPr>
              <w:spacing w:after="60"/>
            </w:pPr>
            <w:r>
              <w:rPr>
                <w:b w:val="false"/>
                <w:bCs w:val="false"/>
                <w:i w:val="false"/>
                <w:iCs w:val="false"/>
                <w:color w:val="353532"/>
                <w:sz w:val="22"/>
                <w:szCs w:val="22"/>
              </w:rPr>
              <w:t xml:space="preserve">_______________________________</w:t>
            </w:r>
          </w:p>
          <w:p>
            <w:pPr>
              <w:spacing w:after="240"/>
            </w:pPr>
            <w:r>
              <w:rPr>
                <w:b w:val="false"/>
                <w:bCs w:val="false"/>
                <w:i w:val="false"/>
                <w:iCs w:val="false"/>
                <w:color w:val="6B6B66"/>
                <w:sz w:val="18"/>
                <w:szCs w:val="18"/>
              </w:rPr>
              <w:t xml:space="preserve">Dato og underskrift</w:t>
            </w:r>
          </w:p>
          <w:p>
            <w:pPr>
              <w:spacing w:after="60"/>
            </w:pPr>
            <w:r>
              <w:rPr>
                <w:b/>
                <w:bCs/>
                <w:i w:val="false"/>
                <w:iCs w:val="false"/>
                <w:color w:val="353532"/>
                <w:sz w:val="22"/>
                <w:szCs w:val="22"/>
              </w:rPr>
              <w:t xml:space="preserve">Rasmus Hellum</w:t>
            </w:r>
          </w:p>
          <w:p>
            <w:pPr>
              <w:spacing w:after="240"/>
            </w:pPr>
            <w:r>
              <w:rPr>
                <w:b w:val="false"/>
                <w:bCs w:val="false"/>
                <w:i w:val="false"/>
                <w:iCs w:val="false"/>
                <w:color w:val="6B6B66"/>
                <w:sz w:val="18"/>
                <w:szCs w:val="18"/>
              </w:rPr>
              <w:t xml:space="preserve">Indehaver</w:t>
            </w:r>
          </w:p>
          <w:p>
            <w:pPr>
              <w:spacing w:after="60"/>
            </w:pPr>
            <w:r>
              <w:rPr>
                <w:b w:val="false"/>
                <w:bCs w:val="false"/>
                <w:i w:val="false"/>
                <w:iCs w:val="false"/>
                <w:color w:val="353532"/>
                <w:sz w:val="20"/>
                <w:szCs w:val="20"/>
              </w:rPr>
              <w:t xml:space="preserve">rasmus@hellum.it</w:t>
            </w:r>
          </w:p>
          <w:p>
            <w:pPr>
              <w:spacing w:after="60"/>
            </w:pPr>
            <w:r>
              <w:rPr>
                <w:b w:val="false"/>
                <w:bCs w:val="false"/>
                <w:i w:val="false"/>
                <w:iCs w:val="false"/>
                <w:color w:val="353532"/>
                <w:sz w:val="20"/>
                <w:szCs w:val="20"/>
              </w:rPr>
              <w:t xml:space="preserve">+45 28 55 77 70</w:t>
            </w:r>
          </w:p>
        </w:tc>
      </w:tr>
    </w:tbl>
    <w:p>
      <w:pPr>
        <w:spacing w:after="400"/>
      </w:pPr>
    </w:p>
    <w:p>
      <w:pPr>
        <w:spacing w:after="120"/>
      </w:pPr>
      <w:r>
        <w:rPr>
          <w:rFonts w:ascii="Courier New" w:cs="Courier New" w:eastAsia="Courier New" w:hAnsi="Courier New"/>
          <w:color w:val="3DCC3D"/>
          <w:sz w:val="18"/>
          <w:szCs w:val="18"/>
        </w:rPr>
        <w:t>// dokument-version: 1.1 · juli 2026 · hellum.it</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6B66"/>
        <w:sz w:val="18"/>
        <w:szCs w:val="18"/>
      </w:rPr>
      <w:t xml:space="preserve">hellum.it · CVR 44702509 · </w:t>
    </w:r>
    <w:r>
      <w:rPr>
        <w:rFonts w:ascii="Calibri" w:cs="Calibri" w:eastAsia="Calibri" w:hAnsi="Calibri"/>
        <w:color w:val="6B6B66"/>
        <w:sz w:val="18"/>
        <w:szCs w:val="18"/>
      </w:rPr>
      <w:t xml:space="preserve">Side </w:t>
      <w:fldChar w:fldCharType="begin"/>
      <w:instrText xml:space="preserve">PAGE</w:instrText>
      <w:fldChar w:fldCharType="separate"/>
      <w:fldChar w:fldCharType="end"/>
      <w:t xml:space="preserve"> af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6B6B66"/>
        <w:sz w:val="18"/>
        <w:szCs w:val="18"/>
      </w:rPr>
      <w:t xml:space="preserve">Databehandleraftale · Hellum IT ApS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Calibri" w:cs="Calibri" w:eastAsia="Calibri" w:hAnsi="Calibri"/>
      <w:b/>
      <w:bCs/>
      <w:color w:val="353532"/>
      <w:sz w:val="36"/>
      <w:szCs w:val="36"/>
    </w:rPr>
  </w:style>
  <w:style w:type="paragraph" w:styleId="Heading2">
    <w:name w:val="Heading 2"/>
    <w:basedOn w:val="Normal"/>
    <w:next w:val="Normal"/>
    <w:qFormat/>
    <w:pPr>
      <w:spacing w:after="140" w:before="320"/>
      <w:outlineLvl w:val="1"/>
    </w:pPr>
    <w:rPr>
      <w:rFonts w:ascii="Calibri" w:cs="Calibri" w:eastAsia="Calibri" w:hAnsi="Calibri"/>
      <w:b/>
      <w:bCs/>
      <w:color w:val="353532"/>
      <w:sz w:val="26"/>
      <w:szCs w:val="26"/>
    </w:rPr>
  </w:style>
  <w:style w:type="paragraph" w:styleId="Heading3">
    <w:name w:val="Heading 3"/>
    <w:basedOn w:val="Normal"/>
    <w:next w:val="Normal"/>
    <w:qFormat/>
    <w:pPr>
      <w:spacing w:after="100" w:before="200"/>
      <w:outlineLvl w:val="2"/>
    </w:pPr>
    <w:rPr>
      <w:rFonts w:ascii="Calibri" w:cs="Calibri" w:eastAsia="Calibri" w:hAnsi="Calibri"/>
      <w:b/>
      <w:bCs/>
      <w:color w:val="353532"/>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Databehandleraftale - Hellum IT ApS</dc:title>
  <dc:creator>Hellum IT ApS</dc:creator>
  <dc:description>Standard databehandleraftale i henhold til GDPR art. 28</dc:description>
  <cp:lastModifiedBy>Un-named</cp:lastModifiedBy>
  <cp:revision>1</cp:revision>
  <dcterms:created xsi:type="dcterms:W3CDTF">2026-05-07T21:22:25.979Z</dcterms:created>
  <dcterms:modified xsi:type="dcterms:W3CDTF">2026-05-07T21:22:25.980Z</dcterms:modified>
</cp:coreProperties>
</file>

<file path=docProps/custom.xml><?xml version="1.0" encoding="utf-8"?>
<Properties xmlns="http://schemas.openxmlformats.org/officeDocument/2006/custom-properties" xmlns:vt="http://schemas.openxmlformats.org/officeDocument/2006/docPropsVTypes"/>
</file>